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74A8" w:rsidRDefault="001274A8" w:rsidP="001274A8">
      <w:pPr>
        <w:rPr>
          <w:rFonts w:ascii="Arial" w:hAnsi="Arial" w:cs="Arial" w:hint="cs"/>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1274A8" w:rsidRPr="0053500C" w:rsidTr="00360434">
        <w:trPr>
          <w:trHeight w:val="350"/>
        </w:trPr>
        <w:tc>
          <w:tcPr>
            <w:tcW w:w="1440" w:type="dxa"/>
            <w:shd w:val="clear" w:color="auto" w:fill="E6E6E6"/>
          </w:tcPr>
          <w:p w:rsidR="001274A8" w:rsidRPr="0053500C" w:rsidRDefault="001274A8" w:rsidP="00360434">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1274A8" w:rsidRPr="0053500C" w:rsidRDefault="001274A8" w:rsidP="00360434">
            <w:pPr>
              <w:spacing w:line="276" w:lineRule="auto"/>
              <w:jc w:val="right"/>
              <w:rPr>
                <w:rFonts w:ascii="Arial" w:hAnsi="Arial" w:cs="Arial"/>
                <w:b/>
                <w:sz w:val="22"/>
                <w:szCs w:val="22"/>
                <w:rtl/>
              </w:rPr>
            </w:pPr>
            <w:r>
              <w:rPr>
                <w:rFonts w:ascii="Arial" w:hAnsi="Arial" w:cs="Arial" w:hint="cs"/>
                <w:b/>
                <w:sz w:val="22"/>
                <w:szCs w:val="22"/>
                <w:rtl/>
              </w:rPr>
              <w:t>החינוך</w:t>
            </w:r>
          </w:p>
        </w:tc>
      </w:tr>
      <w:tr w:rsidR="001274A8" w:rsidRPr="0053500C" w:rsidTr="00360434">
        <w:trPr>
          <w:trHeight w:val="361"/>
        </w:trPr>
        <w:tc>
          <w:tcPr>
            <w:tcW w:w="1440" w:type="dxa"/>
            <w:shd w:val="clear" w:color="auto" w:fill="E6E6E6"/>
          </w:tcPr>
          <w:p w:rsidR="001274A8" w:rsidRPr="0053500C" w:rsidRDefault="001274A8" w:rsidP="00360434">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1274A8" w:rsidRPr="0053500C" w:rsidRDefault="001274A8" w:rsidP="00360434">
            <w:pPr>
              <w:spacing w:line="276" w:lineRule="auto"/>
              <w:jc w:val="right"/>
              <w:rPr>
                <w:rFonts w:ascii="Arial" w:hAnsi="Arial" w:cs="Arial"/>
                <w:b/>
                <w:sz w:val="22"/>
                <w:szCs w:val="22"/>
                <w:rtl/>
              </w:rPr>
            </w:pPr>
            <w:r>
              <w:rPr>
                <w:rFonts w:ascii="Arial" w:hAnsi="Arial" w:cs="Arial" w:hint="cs"/>
                <w:b/>
                <w:sz w:val="22"/>
                <w:szCs w:val="22"/>
                <w:rtl/>
              </w:rPr>
              <w:t>תיאום משכורות עובדי הוראה</w:t>
            </w:r>
          </w:p>
        </w:tc>
      </w:tr>
      <w:tr w:rsidR="001274A8" w:rsidRPr="0053500C" w:rsidTr="00360434">
        <w:trPr>
          <w:trHeight w:val="370"/>
        </w:trPr>
        <w:tc>
          <w:tcPr>
            <w:tcW w:w="1440" w:type="dxa"/>
            <w:shd w:val="clear" w:color="auto" w:fill="E6E6E6"/>
          </w:tcPr>
          <w:p w:rsidR="001274A8" w:rsidRPr="0053500C" w:rsidRDefault="001274A8" w:rsidP="00360434">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1274A8" w:rsidRPr="0053500C" w:rsidRDefault="00FD69C8" w:rsidP="00360434">
            <w:pPr>
              <w:spacing w:line="276" w:lineRule="auto"/>
              <w:jc w:val="right"/>
              <w:rPr>
                <w:rFonts w:ascii="Arial" w:hAnsi="Arial" w:cs="Arial"/>
                <w:b/>
                <w:sz w:val="22"/>
                <w:szCs w:val="22"/>
                <w:rtl/>
              </w:rPr>
            </w:pPr>
            <w:r>
              <w:rPr>
                <w:rFonts w:ascii="Arial" w:hAnsi="Arial" w:cs="Arial" w:hint="cs"/>
                <w:b/>
                <w:sz w:val="22"/>
                <w:szCs w:val="22"/>
                <w:rtl/>
              </w:rPr>
              <w:t>24.7.2022</w:t>
            </w:r>
          </w:p>
        </w:tc>
      </w:tr>
    </w:tbl>
    <w:p w:rsidR="001274A8" w:rsidRPr="00813E93" w:rsidRDefault="001274A8" w:rsidP="001274A8">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274A8" w:rsidRPr="00813E93" w:rsidRDefault="001274A8" w:rsidP="001274A8">
      <w:pPr>
        <w:rPr>
          <w:rFonts w:ascii="Arial" w:hAnsi="Arial" w:cs="Arial"/>
          <w:b/>
          <w:sz w:val="22"/>
          <w:szCs w:val="22"/>
          <w:rtl/>
        </w:rPr>
      </w:pPr>
    </w:p>
    <w:p w:rsidR="001274A8" w:rsidRDefault="001274A8" w:rsidP="001274A8">
      <w:pPr>
        <w:jc w:val="center"/>
        <w:rPr>
          <w:rFonts w:ascii="Arial" w:hAnsi="Arial" w:cs="Arial"/>
          <w:bCs/>
          <w:sz w:val="22"/>
          <w:szCs w:val="22"/>
          <w:rtl/>
        </w:rPr>
      </w:pPr>
    </w:p>
    <w:p w:rsidR="001274A8" w:rsidRDefault="001274A8" w:rsidP="001274A8">
      <w:pPr>
        <w:jc w:val="center"/>
        <w:rPr>
          <w:rFonts w:ascii="Arial" w:hAnsi="Arial" w:cs="Arial"/>
          <w:bCs/>
          <w:sz w:val="22"/>
          <w:szCs w:val="22"/>
          <w:rtl/>
        </w:rPr>
      </w:pPr>
    </w:p>
    <w:p w:rsidR="001274A8" w:rsidRDefault="001274A8" w:rsidP="001274A8">
      <w:pPr>
        <w:jc w:val="center"/>
        <w:rPr>
          <w:rFonts w:ascii="Arial" w:hAnsi="Arial" w:cs="Arial"/>
          <w:bCs/>
          <w:sz w:val="22"/>
          <w:szCs w:val="22"/>
          <w:rtl/>
        </w:rPr>
      </w:pPr>
    </w:p>
    <w:p w:rsidR="001274A8" w:rsidRDefault="001274A8" w:rsidP="001274A8">
      <w:pPr>
        <w:jc w:val="center"/>
        <w:rPr>
          <w:rFonts w:ascii="Arial" w:hAnsi="Arial" w:cs="Arial"/>
          <w:bCs/>
          <w:sz w:val="22"/>
          <w:szCs w:val="22"/>
          <w:rtl/>
        </w:rPr>
      </w:pPr>
    </w:p>
    <w:p w:rsidR="001274A8" w:rsidRPr="002A5F9B" w:rsidRDefault="001274A8" w:rsidP="00FD69C8">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1274A8" w:rsidRDefault="001274A8" w:rsidP="001274A8">
      <w:pPr>
        <w:jc w:val="both"/>
        <w:rPr>
          <w:rFonts w:ascii="Arial" w:hAnsi="Arial" w:cs="Arial"/>
          <w:b/>
          <w:sz w:val="22"/>
          <w:szCs w:val="22"/>
          <w:rtl/>
        </w:rPr>
      </w:pPr>
    </w:p>
    <w:p w:rsidR="001274A8" w:rsidRDefault="001274A8" w:rsidP="001274A8">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274A8" w:rsidRDefault="001274A8" w:rsidP="001274A8">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7"/>
      </w:tblGrid>
      <w:tr w:rsidR="001274A8" w:rsidRPr="0053500C" w:rsidTr="00360434">
        <w:trPr>
          <w:trHeight w:val="336"/>
        </w:trPr>
        <w:tc>
          <w:tcPr>
            <w:tcW w:w="9137" w:type="dxa"/>
            <w:tcBorders>
              <w:bottom w:val="single" w:sz="4" w:space="0" w:color="auto"/>
            </w:tcBorders>
            <w:shd w:val="clear" w:color="auto" w:fill="E6E6E6"/>
          </w:tcPr>
          <w:p w:rsidR="001274A8" w:rsidRPr="0053500C" w:rsidRDefault="001274A8" w:rsidP="00360434">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274A8" w:rsidRPr="00264750" w:rsidTr="00360434">
        <w:trPr>
          <w:trHeight w:val="3053"/>
        </w:trPr>
        <w:tc>
          <w:tcPr>
            <w:tcW w:w="9137" w:type="dxa"/>
            <w:tcBorders>
              <w:bottom w:val="single" w:sz="4" w:space="0" w:color="auto"/>
            </w:tcBorders>
          </w:tcPr>
          <w:p w:rsidR="00244AC5" w:rsidRPr="00916D1D" w:rsidRDefault="00244AC5" w:rsidP="00244AC5">
            <w:pPr>
              <w:pStyle w:val="a9"/>
              <w:spacing w:before="240" w:after="120" w:line="360" w:lineRule="auto"/>
              <w:rPr>
                <w:rFonts w:ascii="David" w:hAnsi="David" w:cs="David"/>
                <w:sz w:val="24"/>
                <w:szCs w:val="24"/>
                <w:rtl/>
              </w:rPr>
            </w:pPr>
            <w:r w:rsidRPr="00916D1D">
              <w:rPr>
                <w:rFonts w:ascii="David" w:hAnsi="David" w:cs="David"/>
                <w:sz w:val="24"/>
                <w:szCs w:val="24"/>
                <w:rtl/>
              </w:rPr>
              <w:t>בהתאם להחלטת ועדת הפטור ב</w:t>
            </w:r>
            <w:r>
              <w:rPr>
                <w:rFonts w:ascii="David" w:hAnsi="David" w:cs="David" w:hint="cs"/>
                <w:sz w:val="24"/>
                <w:szCs w:val="24"/>
                <w:rtl/>
              </w:rPr>
              <w:t xml:space="preserve">משרד האוצר </w:t>
            </w:r>
            <w:r w:rsidRPr="00916D1D">
              <w:rPr>
                <w:rFonts w:ascii="David" w:hAnsi="David" w:cs="David"/>
                <w:sz w:val="24"/>
                <w:szCs w:val="24"/>
                <w:rtl/>
              </w:rPr>
              <w:t xml:space="preserve">מיום </w:t>
            </w:r>
            <w:r>
              <w:rPr>
                <w:rFonts w:ascii="David" w:hAnsi="David" w:cs="David" w:hint="cs"/>
                <w:sz w:val="24"/>
                <w:szCs w:val="24"/>
                <w:rtl/>
              </w:rPr>
              <w:t>5.9.2021</w:t>
            </w:r>
            <w:r w:rsidRPr="00916D1D">
              <w:rPr>
                <w:rFonts w:ascii="David" w:hAnsi="David" w:cs="David"/>
                <w:sz w:val="24"/>
                <w:szCs w:val="24"/>
                <w:rtl/>
              </w:rPr>
              <w:t xml:space="preserve"> , מסתיימת ההתקשרות עם חברת יוניק תעשיות תוכנה בע"מ בתאריך </w:t>
            </w:r>
            <w:r>
              <w:rPr>
                <w:rFonts w:ascii="David" w:hAnsi="David" w:cs="David" w:hint="cs"/>
                <w:sz w:val="24"/>
                <w:szCs w:val="24"/>
                <w:rtl/>
              </w:rPr>
              <w:t>31.12.2022</w:t>
            </w:r>
            <w:r w:rsidRPr="00916D1D">
              <w:rPr>
                <w:rFonts w:ascii="David" w:hAnsi="David" w:cs="David"/>
                <w:sz w:val="24"/>
                <w:szCs w:val="24"/>
                <w:rtl/>
              </w:rPr>
              <w:t>.</w:t>
            </w:r>
          </w:p>
          <w:p w:rsidR="00244AC5" w:rsidRPr="00916D1D" w:rsidRDefault="00244AC5" w:rsidP="00244AC5">
            <w:pPr>
              <w:pStyle w:val="a9"/>
              <w:spacing w:before="240" w:after="120" w:line="360" w:lineRule="auto"/>
              <w:rPr>
                <w:rFonts w:ascii="David" w:hAnsi="David" w:cs="David"/>
                <w:sz w:val="24"/>
                <w:szCs w:val="24"/>
                <w:rtl/>
              </w:rPr>
            </w:pPr>
            <w:r w:rsidRPr="00916D1D">
              <w:rPr>
                <w:rFonts w:ascii="David" w:hAnsi="David" w:cs="David"/>
                <w:sz w:val="24"/>
                <w:szCs w:val="24"/>
                <w:rtl/>
              </w:rPr>
              <w:t>מערך הסליקה הפנסיוני הינו מערך הסולק הפרשות לקופות השונות, מתלושי השכר למגוון גופים כמו קרנות פנסיות צוברות, קופות הגמל וקרנות השתלמות. הסליקה מתבצעת עבור כ-165,000 עובדי הוראה. לכל עובד הוראה יש מספר קופות שהוא מפריש אליהן, וההתקשרות היא מערך סליקה שמנהל את העברת הכספים המופרשים ממשרד החינוך לקופות השונות.</w:t>
            </w:r>
          </w:p>
          <w:p w:rsidR="00244AC5" w:rsidRPr="00916D1D" w:rsidRDefault="00244AC5" w:rsidP="00244AC5">
            <w:pPr>
              <w:pStyle w:val="a9"/>
              <w:spacing w:before="240" w:after="120" w:line="360" w:lineRule="auto"/>
              <w:rPr>
                <w:rFonts w:ascii="David" w:hAnsi="David" w:cs="David"/>
                <w:sz w:val="24"/>
                <w:szCs w:val="24"/>
                <w:rtl/>
              </w:rPr>
            </w:pPr>
            <w:r w:rsidRPr="00916D1D">
              <w:rPr>
                <w:rFonts w:ascii="David" w:hAnsi="David" w:cs="David"/>
                <w:sz w:val="24"/>
                <w:szCs w:val="24"/>
                <w:rtl/>
              </w:rPr>
              <w:t>המשרד התקשר עם חברת יוניק והאריך את ההתקשרות עמה מעת לעת כספק יחיד מהטעמים שלהלן:</w:t>
            </w:r>
          </w:p>
          <w:p w:rsidR="00244AC5" w:rsidRPr="00916D1D" w:rsidRDefault="00244AC5" w:rsidP="00244AC5">
            <w:pPr>
              <w:pStyle w:val="a9"/>
              <w:numPr>
                <w:ilvl w:val="0"/>
                <w:numId w:val="2"/>
              </w:numPr>
              <w:spacing w:before="240" w:after="120" w:line="360" w:lineRule="auto"/>
              <w:rPr>
                <w:rFonts w:ascii="David" w:hAnsi="David" w:cs="David"/>
                <w:sz w:val="24"/>
                <w:szCs w:val="24"/>
              </w:rPr>
            </w:pPr>
            <w:r w:rsidRPr="00916D1D">
              <w:rPr>
                <w:rFonts w:ascii="David" w:hAnsi="David" w:cs="David"/>
                <w:sz w:val="24"/>
                <w:szCs w:val="24"/>
                <w:rtl/>
              </w:rPr>
              <w:t>בסיסי הידע הנדרשים לביצוע שירותי הסליקה מצויים בידי החברה כמי שמכוח המכרז לשירותי חילול השכר אחראית באופן מלא ובלעדי על הנושא מקצה לקצה.</w:t>
            </w:r>
          </w:p>
          <w:p w:rsidR="00244AC5" w:rsidRDefault="00244AC5" w:rsidP="00244AC5">
            <w:pPr>
              <w:pStyle w:val="a9"/>
              <w:numPr>
                <w:ilvl w:val="0"/>
                <w:numId w:val="2"/>
              </w:numPr>
              <w:spacing w:before="240" w:after="120" w:line="360" w:lineRule="auto"/>
              <w:rPr>
                <w:rFonts w:ascii="David" w:hAnsi="David" w:cs="David"/>
                <w:sz w:val="24"/>
                <w:szCs w:val="24"/>
              </w:rPr>
            </w:pPr>
            <w:r w:rsidRPr="00916D1D">
              <w:rPr>
                <w:rFonts w:ascii="David" w:hAnsi="David" w:cs="David"/>
                <w:sz w:val="24"/>
                <w:szCs w:val="24"/>
                <w:rtl/>
              </w:rPr>
              <w:t>משיקולי צנעת הפרט. המשרד רואה חשיבות בצמצום מספר הגורמים המעורבים בתהליך הנפקת והעברת המשכורות והניכויים השונים של עובדי ההוראה.</w:t>
            </w:r>
          </w:p>
          <w:p w:rsidR="00B50401" w:rsidRPr="00916D1D" w:rsidRDefault="00B50401" w:rsidP="00244AC5">
            <w:pPr>
              <w:pStyle w:val="a9"/>
              <w:numPr>
                <w:ilvl w:val="0"/>
                <w:numId w:val="2"/>
              </w:numPr>
              <w:spacing w:before="240" w:after="120" w:line="360" w:lineRule="auto"/>
              <w:rPr>
                <w:rFonts w:ascii="David" w:hAnsi="David" w:cs="David"/>
                <w:sz w:val="24"/>
                <w:szCs w:val="24"/>
              </w:rPr>
            </w:pPr>
            <w:r>
              <w:rPr>
                <w:rFonts w:ascii="David" w:hAnsi="David" w:cs="David" w:hint="cs"/>
                <w:sz w:val="24"/>
                <w:szCs w:val="24"/>
                <w:rtl/>
              </w:rPr>
              <w:t>לחברת יוניק המומחיות הנדרשת לפתרון בעיות בחילול השכר המשפיעות על דיוק הסליקה .</w:t>
            </w:r>
          </w:p>
          <w:p w:rsidR="001274A8" w:rsidRPr="00244AC5" w:rsidRDefault="00244AC5" w:rsidP="00244AC5">
            <w:pPr>
              <w:pStyle w:val="a9"/>
              <w:spacing w:before="240" w:after="120" w:line="360" w:lineRule="auto"/>
              <w:rPr>
                <w:rFonts w:ascii="David" w:hAnsi="David" w:cs="David"/>
                <w:sz w:val="24"/>
                <w:szCs w:val="24"/>
                <w:rtl/>
              </w:rPr>
            </w:pPr>
            <w:r w:rsidRPr="00916D1D">
              <w:rPr>
                <w:rFonts w:ascii="David" w:hAnsi="David" w:cs="David"/>
                <w:sz w:val="24"/>
                <w:szCs w:val="24"/>
                <w:rtl/>
              </w:rPr>
              <w:t xml:space="preserve">במהלך שנת 2020 בהנחיית וועדת הפטור מיום 18.5.2020 , בחן המשרד את החלופות הקיימות בשוק לאספקת שירותי סליקה פנסיוניים לארגונים המעסיקים עובדים בהיקפים דומים לזה של המשרד. לאחר בחינת הנושא , עולה כי היתרון שאותו ספק יפעיל הן את שירותי הסליקה הפנסיונית והן את חילול השכר יחד מהווה יתרון משמעותי, ומשכך מעוניין המשרד לבצע מכרז אחוד לשירותים. המשרד </w:t>
            </w:r>
            <w:r w:rsidRPr="00916D1D">
              <w:rPr>
                <w:rFonts w:ascii="David" w:hAnsi="David" w:cs="David"/>
                <w:sz w:val="24"/>
                <w:szCs w:val="24"/>
                <w:rtl/>
              </w:rPr>
              <w:lastRenderedPageBreak/>
              <w:t>אינו רואה טעם בהתנעת ההליך המכרזי האמור כעת, בעוד שברקע נכתבת חוקת שכר לעובדי הוראה, תהליך שעתיד להתפרש על כ-</w:t>
            </w:r>
            <w:r>
              <w:rPr>
                <w:rFonts w:ascii="David" w:hAnsi="David" w:cs="David" w:hint="cs"/>
                <w:sz w:val="24"/>
                <w:szCs w:val="24"/>
                <w:rtl/>
              </w:rPr>
              <w:t>3</w:t>
            </w:r>
            <w:r w:rsidRPr="00916D1D">
              <w:rPr>
                <w:rFonts w:ascii="David" w:hAnsi="David" w:cs="David"/>
                <w:sz w:val="24"/>
                <w:szCs w:val="24"/>
                <w:rtl/>
              </w:rPr>
              <w:t xml:space="preserve"> שנים , ורק לאחר הבשלת ההליך יותנע מכרז מאוחד.</w:t>
            </w:r>
          </w:p>
        </w:tc>
      </w:tr>
    </w:tbl>
    <w:p w:rsidR="001274A8" w:rsidRPr="0021757D" w:rsidRDefault="001274A8" w:rsidP="001274A8">
      <w:pPr>
        <w:rPr>
          <w:rFonts w:ascii="Arial" w:hAnsi="Arial" w:cs="Arial"/>
          <w:b/>
          <w:sz w:val="16"/>
          <w:szCs w:val="16"/>
          <w:rtl/>
        </w:rPr>
      </w:pPr>
    </w:p>
    <w:p w:rsidR="001274A8" w:rsidRDefault="001274A8" w:rsidP="001274A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FE"/>
      </w:r>
      <w:r>
        <w:rPr>
          <w:rFonts w:ascii="Arial" w:hAnsi="Arial" w:cs="Arial" w:hint="cs"/>
          <w:b/>
          <w:sz w:val="22"/>
          <w:szCs w:val="22"/>
          <w:rtl/>
        </w:rPr>
        <w:t xml:space="preserve">  לא</w:t>
      </w:r>
    </w:p>
    <w:p w:rsidR="001274A8" w:rsidRPr="0021757D" w:rsidRDefault="001274A8" w:rsidP="001274A8">
      <w:pPr>
        <w:rPr>
          <w:rFonts w:ascii="Arial" w:hAnsi="Arial" w:cs="Arial"/>
          <w:b/>
          <w:sz w:val="16"/>
          <w:szCs w:val="16"/>
          <w:rtl/>
        </w:rPr>
      </w:pPr>
    </w:p>
    <w:p w:rsidR="001274A8" w:rsidRPr="00813E93" w:rsidRDefault="001274A8" w:rsidP="001274A8">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274A8" w:rsidRPr="00813E93" w:rsidRDefault="001274A8" w:rsidP="001274A8">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1274A8" w:rsidRPr="00813E93" w:rsidTr="00360434">
        <w:tc>
          <w:tcPr>
            <w:tcW w:w="3085" w:type="dxa"/>
          </w:tcPr>
          <w:p w:rsidR="001274A8" w:rsidRPr="00813E93" w:rsidRDefault="001274A8" w:rsidP="0036043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1274A8" w:rsidRPr="00813E93" w:rsidRDefault="001274A8" w:rsidP="00360434">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274A8" w:rsidRDefault="001274A8" w:rsidP="00360434">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1274A8" w:rsidRPr="00813E93" w:rsidRDefault="001274A8" w:rsidP="00360434">
            <w:pPr>
              <w:ind w:right="283"/>
              <w:rPr>
                <w:rFonts w:ascii="Arial" w:hAnsi="Arial" w:cs="Arial"/>
                <w:b/>
                <w:sz w:val="22"/>
                <w:szCs w:val="22"/>
                <w:rtl/>
              </w:rPr>
            </w:pPr>
          </w:p>
        </w:tc>
      </w:tr>
    </w:tbl>
    <w:p w:rsidR="001274A8" w:rsidRPr="0021757D" w:rsidRDefault="001274A8" w:rsidP="001274A8">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1274A8" w:rsidRPr="0053500C" w:rsidTr="00360434">
        <w:tc>
          <w:tcPr>
            <w:tcW w:w="2698" w:type="dxa"/>
            <w:tcBorders>
              <w:top w:val="single" w:sz="4" w:space="0" w:color="auto"/>
              <w:left w:val="single" w:sz="4" w:space="0" w:color="auto"/>
              <w:bottom w:val="single" w:sz="4" w:space="0" w:color="auto"/>
              <w:right w:val="single" w:sz="4" w:space="0" w:color="auto"/>
            </w:tcBorders>
            <w:shd w:val="clear" w:color="auto" w:fill="E6E6E6"/>
          </w:tcPr>
          <w:p w:rsidR="001274A8" w:rsidRPr="0053500C" w:rsidRDefault="001274A8" w:rsidP="00360434">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274A8" w:rsidRPr="00264750" w:rsidRDefault="001274A8" w:rsidP="00360434">
            <w:pPr>
              <w:rPr>
                <w:rFonts w:ascii="Arial" w:hAnsi="Arial" w:cs="Arial"/>
                <w:b/>
                <w:sz w:val="22"/>
                <w:szCs w:val="22"/>
                <w:rtl/>
              </w:rPr>
            </w:pPr>
            <w:r w:rsidRPr="00264750">
              <w:rPr>
                <w:rFonts w:ascii="Arial" w:hAnsi="Arial" w:cs="Arial" w:hint="cs"/>
                <w:b/>
                <w:sz w:val="22"/>
                <w:szCs w:val="22"/>
                <w:rtl/>
              </w:rPr>
              <w:t>יוניק תעשיות תוכנה בע"מ</w:t>
            </w:r>
          </w:p>
        </w:tc>
      </w:tr>
      <w:tr w:rsidR="001274A8" w:rsidRPr="0053500C" w:rsidTr="00360434">
        <w:tc>
          <w:tcPr>
            <w:tcW w:w="2698" w:type="dxa"/>
            <w:tcBorders>
              <w:top w:val="single" w:sz="4" w:space="0" w:color="auto"/>
              <w:left w:val="single" w:sz="4" w:space="0" w:color="auto"/>
              <w:bottom w:val="single" w:sz="4" w:space="0" w:color="auto"/>
              <w:right w:val="single" w:sz="4" w:space="0" w:color="auto"/>
            </w:tcBorders>
            <w:shd w:val="clear" w:color="auto" w:fill="E6E6E6"/>
          </w:tcPr>
          <w:p w:rsidR="001274A8" w:rsidRPr="0053500C" w:rsidRDefault="001274A8" w:rsidP="00360434">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1274A8" w:rsidRPr="0053500C" w:rsidRDefault="001274A8" w:rsidP="00360434">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274A8" w:rsidRPr="00264750" w:rsidRDefault="001274A8" w:rsidP="00360434">
            <w:pPr>
              <w:rPr>
                <w:rFonts w:ascii="Arial" w:hAnsi="Arial" w:cs="Arial"/>
                <w:b/>
                <w:sz w:val="22"/>
                <w:szCs w:val="22"/>
                <w:rtl/>
              </w:rPr>
            </w:pPr>
            <w:r w:rsidRPr="00264750">
              <w:rPr>
                <w:rFonts w:ascii="Arial" w:hAnsi="Arial" w:cs="Arial"/>
                <w:b/>
                <w:sz w:val="22"/>
                <w:szCs w:val="22"/>
                <w:rtl/>
              </w:rPr>
              <w:t>511388431</w:t>
            </w:r>
          </w:p>
        </w:tc>
      </w:tr>
      <w:tr w:rsidR="001274A8" w:rsidRPr="0053500C" w:rsidTr="00360434">
        <w:tc>
          <w:tcPr>
            <w:tcW w:w="2698" w:type="dxa"/>
            <w:tcBorders>
              <w:top w:val="single" w:sz="4" w:space="0" w:color="auto"/>
              <w:left w:val="single" w:sz="4" w:space="0" w:color="auto"/>
              <w:bottom w:val="single" w:sz="4" w:space="0" w:color="auto"/>
              <w:right w:val="single" w:sz="4" w:space="0" w:color="auto"/>
            </w:tcBorders>
            <w:shd w:val="clear" w:color="auto" w:fill="E6E6E6"/>
          </w:tcPr>
          <w:p w:rsidR="001274A8" w:rsidRPr="0053500C" w:rsidRDefault="001274A8" w:rsidP="00360434">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274A8" w:rsidRPr="0053500C" w:rsidRDefault="001274A8" w:rsidP="00360434">
            <w:pPr>
              <w:rPr>
                <w:rFonts w:ascii="Arial" w:hAnsi="Arial" w:cs="Arial"/>
                <w:b/>
                <w:sz w:val="22"/>
                <w:szCs w:val="22"/>
                <w:rtl/>
              </w:rPr>
            </w:pPr>
            <w:r>
              <w:rPr>
                <w:rFonts w:ascii="Arial" w:hAnsi="Arial" w:cs="Arial"/>
                <w:b/>
                <w:sz w:val="28"/>
                <w:szCs w:val="28"/>
              </w:rPr>
              <w:sym w:font="Wingdings" w:char="F0FE"/>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274A8" w:rsidRPr="0053500C" w:rsidRDefault="001274A8" w:rsidP="00360434">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1274A8" w:rsidRPr="0053500C" w:rsidTr="00360434">
        <w:tc>
          <w:tcPr>
            <w:tcW w:w="2698" w:type="dxa"/>
            <w:tcBorders>
              <w:top w:val="single" w:sz="4" w:space="0" w:color="auto"/>
              <w:left w:val="single" w:sz="4" w:space="0" w:color="auto"/>
              <w:bottom w:val="single" w:sz="4" w:space="0" w:color="auto"/>
              <w:right w:val="single" w:sz="4" w:space="0" w:color="auto"/>
            </w:tcBorders>
            <w:shd w:val="clear" w:color="auto" w:fill="E6E6E6"/>
          </w:tcPr>
          <w:p w:rsidR="001274A8" w:rsidRPr="0053500C" w:rsidRDefault="001274A8" w:rsidP="00360434">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74A8" w:rsidRPr="00B81A44" w:rsidRDefault="00B81A44" w:rsidP="00360434">
            <w:pPr>
              <w:rPr>
                <w:rFonts w:ascii="Arial" w:hAnsi="Arial" w:cs="Arial"/>
                <w:b/>
                <w:sz w:val="22"/>
                <w:szCs w:val="22"/>
                <w:rtl/>
              </w:rPr>
            </w:pPr>
            <w:r w:rsidRPr="00B81A44">
              <w:rPr>
                <w:rFonts w:ascii="Arial" w:hAnsi="Arial" w:cs="Arial" w:hint="cs"/>
                <w:b/>
                <w:sz w:val="22"/>
                <w:szCs w:val="22"/>
                <w:rtl/>
              </w:rPr>
              <w:t>23,170,212</w:t>
            </w:r>
            <w:r w:rsidR="001274A8" w:rsidRPr="00B81A44">
              <w:rPr>
                <w:rFonts w:ascii="Arial" w:hAnsi="Arial" w:cs="Arial" w:hint="cs"/>
                <w:b/>
                <w:sz w:val="22"/>
                <w:szCs w:val="22"/>
                <w:rtl/>
              </w:rPr>
              <w:t xml:space="preserve"> כולל מע"מ</w:t>
            </w:r>
          </w:p>
        </w:tc>
      </w:tr>
      <w:tr w:rsidR="001274A8" w:rsidRPr="0053500C" w:rsidTr="00360434">
        <w:tc>
          <w:tcPr>
            <w:tcW w:w="2698" w:type="dxa"/>
            <w:tcBorders>
              <w:top w:val="single" w:sz="4" w:space="0" w:color="auto"/>
              <w:left w:val="single" w:sz="4" w:space="0" w:color="auto"/>
              <w:bottom w:val="single" w:sz="4" w:space="0" w:color="auto"/>
              <w:right w:val="single" w:sz="4" w:space="0" w:color="auto"/>
            </w:tcBorders>
            <w:shd w:val="clear" w:color="auto" w:fill="E6E6E6"/>
          </w:tcPr>
          <w:p w:rsidR="001274A8" w:rsidRPr="0053500C" w:rsidRDefault="001274A8" w:rsidP="00360434">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274A8" w:rsidRPr="00B81A44" w:rsidRDefault="001274A8" w:rsidP="00B81A44">
            <w:pPr>
              <w:rPr>
                <w:rFonts w:ascii="Arial" w:hAnsi="Arial" w:cs="Arial"/>
                <w:b/>
                <w:sz w:val="22"/>
                <w:szCs w:val="22"/>
                <w:rtl/>
              </w:rPr>
            </w:pPr>
            <w:r w:rsidRPr="00B81A44">
              <w:rPr>
                <w:rFonts w:ascii="Arial" w:hAnsi="Arial" w:cs="Arial" w:hint="cs"/>
                <w:b/>
                <w:sz w:val="22"/>
                <w:szCs w:val="22"/>
                <w:rtl/>
              </w:rPr>
              <w:t>1.1.</w:t>
            </w:r>
            <w:r w:rsidR="00B81A44" w:rsidRPr="00B81A44">
              <w:rPr>
                <w:rFonts w:ascii="Arial" w:hAnsi="Arial" w:cs="Arial" w:hint="cs"/>
                <w:b/>
                <w:sz w:val="22"/>
                <w:szCs w:val="22"/>
                <w:rtl/>
              </w:rPr>
              <w:t>2023-31.12.2025</w:t>
            </w:r>
          </w:p>
        </w:tc>
      </w:tr>
    </w:tbl>
    <w:p w:rsidR="001274A8" w:rsidRDefault="001274A8" w:rsidP="001274A8">
      <w:pPr>
        <w:rPr>
          <w:rFonts w:ascii="Arial" w:hAnsi="Arial" w:cs="Arial"/>
          <w:bCs/>
          <w:rtl/>
        </w:rPr>
      </w:pPr>
    </w:p>
    <w:p w:rsidR="001274A8" w:rsidRPr="00BD3C63" w:rsidRDefault="001274A8" w:rsidP="001274A8">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1274A8" w:rsidRDefault="001274A8" w:rsidP="001274A8">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1274A8" w:rsidRDefault="001274A8" w:rsidP="001274A8">
      <w:pPr>
        <w:rPr>
          <w:rFonts w:ascii="Arial" w:hAnsi="Arial" w:cs="Arial"/>
          <w:bCs/>
          <w:sz w:val="22"/>
          <w:szCs w:val="22"/>
          <w:rtl/>
        </w:rPr>
      </w:pPr>
    </w:p>
    <w:p w:rsidR="001274A8" w:rsidRDefault="001274A8" w:rsidP="001274A8">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1274A8" w:rsidRDefault="001274A8" w:rsidP="001274A8">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1274A8" w:rsidRDefault="001274A8" w:rsidP="001274A8">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274A8" w:rsidRPr="001F145F" w:rsidRDefault="001274A8" w:rsidP="001274A8">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274A8" w:rsidRDefault="001274A8" w:rsidP="001274A8">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1274A8" w:rsidRPr="0053500C" w:rsidTr="00360434">
        <w:tc>
          <w:tcPr>
            <w:tcW w:w="9286" w:type="dxa"/>
          </w:tcPr>
          <w:p w:rsidR="00B81A44" w:rsidRDefault="00B81A44" w:rsidP="00B81A44">
            <w:pPr>
              <w:pStyle w:val="a9"/>
              <w:spacing w:before="240" w:after="120" w:line="360" w:lineRule="auto"/>
              <w:rPr>
                <w:rFonts w:ascii="David" w:hAnsi="David" w:cs="David"/>
                <w:sz w:val="24"/>
                <w:szCs w:val="24"/>
              </w:rPr>
            </w:pPr>
            <w:r>
              <w:rPr>
                <w:rFonts w:cs="David" w:hint="cs"/>
                <w:sz w:val="24"/>
                <w:szCs w:val="24"/>
                <w:rtl/>
              </w:rPr>
              <w:t>תחילה נציין כי</w:t>
            </w:r>
            <w:r>
              <w:rPr>
                <w:rFonts w:ascii="David" w:hAnsi="David" w:cs="David" w:hint="cs"/>
                <w:sz w:val="24"/>
                <w:szCs w:val="24"/>
                <w:rtl/>
              </w:rPr>
              <w:t>:</w:t>
            </w:r>
          </w:p>
          <w:p w:rsidR="00B81A44" w:rsidRPr="00916D1D" w:rsidRDefault="00B81A44" w:rsidP="00B50401">
            <w:pPr>
              <w:pStyle w:val="a9"/>
              <w:numPr>
                <w:ilvl w:val="0"/>
                <w:numId w:val="3"/>
              </w:numPr>
              <w:spacing w:before="240" w:after="120" w:line="360" w:lineRule="auto"/>
              <w:rPr>
                <w:rFonts w:ascii="David" w:hAnsi="David" w:cs="David"/>
                <w:sz w:val="24"/>
                <w:szCs w:val="24"/>
              </w:rPr>
            </w:pPr>
            <w:r w:rsidRPr="00916D1D">
              <w:rPr>
                <w:rFonts w:ascii="David" w:hAnsi="David" w:cs="David"/>
                <w:sz w:val="24"/>
                <w:szCs w:val="24"/>
                <w:rtl/>
              </w:rPr>
              <w:t>בסיסי הידע הנדרשים לביצוע שירותי הסליקה מצויים בידי החברה כמי שמכוח המכרז לשירותי חילול השכר אחראית באופן מלא ובלעדי על הנושא מקצה לקצה.</w:t>
            </w:r>
          </w:p>
          <w:p w:rsidR="00B81A44" w:rsidRDefault="00B81A44" w:rsidP="00B50401">
            <w:pPr>
              <w:pStyle w:val="a9"/>
              <w:numPr>
                <w:ilvl w:val="0"/>
                <w:numId w:val="3"/>
              </w:numPr>
              <w:spacing w:before="240" w:after="120" w:line="360" w:lineRule="auto"/>
              <w:rPr>
                <w:rFonts w:ascii="David" w:hAnsi="David" w:cs="David"/>
                <w:sz w:val="24"/>
                <w:szCs w:val="24"/>
              </w:rPr>
            </w:pPr>
            <w:r w:rsidRPr="00916D1D">
              <w:rPr>
                <w:rFonts w:ascii="David" w:hAnsi="David" w:cs="David"/>
                <w:sz w:val="24"/>
                <w:szCs w:val="24"/>
                <w:rtl/>
              </w:rPr>
              <w:t>משיקולי צנעת הפרט. המשרד רואה חשיבות בצמצום מספר הגורמים המעורבים בתהליך הנפקת והעברת המשכורות והניכויים השונים של עובדי ההוראה.</w:t>
            </w:r>
          </w:p>
          <w:p w:rsidR="00B50401" w:rsidRPr="00B50401" w:rsidRDefault="00B50401" w:rsidP="00B50401">
            <w:pPr>
              <w:pStyle w:val="a9"/>
              <w:numPr>
                <w:ilvl w:val="0"/>
                <w:numId w:val="3"/>
              </w:numPr>
              <w:spacing w:before="240" w:after="120" w:line="360" w:lineRule="auto"/>
              <w:rPr>
                <w:rFonts w:ascii="David" w:hAnsi="David" w:cs="David"/>
                <w:sz w:val="24"/>
                <w:szCs w:val="24"/>
              </w:rPr>
            </w:pPr>
            <w:r>
              <w:rPr>
                <w:rFonts w:ascii="David" w:hAnsi="David" w:cs="David" w:hint="cs"/>
                <w:sz w:val="24"/>
                <w:szCs w:val="24"/>
                <w:rtl/>
              </w:rPr>
              <w:t>לחברת יוניק המומחיות הנדרשת לפתרון בעיות בחילול השכר המשפיעות על דיוק הסליקה .</w:t>
            </w:r>
          </w:p>
          <w:p w:rsidR="00B81A44" w:rsidRPr="00B81A44" w:rsidRDefault="00B81A44" w:rsidP="00360434">
            <w:pPr>
              <w:pStyle w:val="a9"/>
              <w:spacing w:after="120" w:line="360" w:lineRule="auto"/>
              <w:ind w:left="720"/>
              <w:rPr>
                <w:rFonts w:cs="David"/>
                <w:sz w:val="24"/>
                <w:szCs w:val="24"/>
                <w:rtl/>
              </w:rPr>
            </w:pPr>
          </w:p>
          <w:p w:rsidR="001274A8" w:rsidRDefault="00B81A44" w:rsidP="00B81A44">
            <w:pPr>
              <w:pStyle w:val="a9"/>
              <w:spacing w:after="120" w:line="360" w:lineRule="auto"/>
              <w:rPr>
                <w:rFonts w:cs="David"/>
                <w:sz w:val="24"/>
                <w:szCs w:val="24"/>
                <w:rtl/>
              </w:rPr>
            </w:pPr>
            <w:r>
              <w:rPr>
                <w:rFonts w:cs="David" w:hint="cs"/>
                <w:sz w:val="24"/>
                <w:szCs w:val="24"/>
                <w:rtl/>
              </w:rPr>
              <w:t xml:space="preserve">בנוסף לכך, </w:t>
            </w:r>
            <w:r w:rsidR="001274A8">
              <w:rPr>
                <w:rFonts w:cs="David" w:hint="cs"/>
                <w:sz w:val="24"/>
                <w:szCs w:val="24"/>
                <w:rtl/>
              </w:rPr>
              <w:t>משרד החינוך בחן את החלופות הקיימות בשוק להספקת שירותי סליקה פנסיונית לארגונים המעסיקים עובדים בהיקפים דומים לזה של משרד החינוך בשני היבטים:</w:t>
            </w:r>
          </w:p>
          <w:p w:rsidR="001274A8" w:rsidRDefault="001274A8" w:rsidP="00B50401">
            <w:pPr>
              <w:pStyle w:val="a9"/>
              <w:numPr>
                <w:ilvl w:val="0"/>
                <w:numId w:val="3"/>
              </w:numPr>
              <w:spacing w:after="120" w:line="360" w:lineRule="auto"/>
              <w:rPr>
                <w:rFonts w:cs="David"/>
                <w:sz w:val="24"/>
                <w:szCs w:val="24"/>
              </w:rPr>
            </w:pPr>
            <w:r>
              <w:rPr>
                <w:rFonts w:cs="David" w:hint="cs"/>
                <w:sz w:val="24"/>
                <w:szCs w:val="24"/>
                <w:rtl/>
              </w:rPr>
              <w:t>שירותי סליקה פנסיונית- תפעול פנסיוני.</w:t>
            </w:r>
          </w:p>
          <w:p w:rsidR="001274A8" w:rsidRDefault="001274A8" w:rsidP="00B50401">
            <w:pPr>
              <w:pStyle w:val="a9"/>
              <w:numPr>
                <w:ilvl w:val="0"/>
                <w:numId w:val="3"/>
              </w:numPr>
              <w:spacing w:after="120" w:line="360" w:lineRule="auto"/>
              <w:rPr>
                <w:rFonts w:cs="David"/>
                <w:sz w:val="24"/>
                <w:szCs w:val="24"/>
              </w:rPr>
            </w:pPr>
            <w:r>
              <w:rPr>
                <w:rFonts w:cs="David" w:hint="cs"/>
                <w:sz w:val="24"/>
                <w:szCs w:val="24"/>
                <w:rtl/>
              </w:rPr>
              <w:t>מערכת ניהול ובקרה אחר התפעול הפנסיוני.</w:t>
            </w:r>
          </w:p>
          <w:p w:rsidR="001274A8" w:rsidRDefault="001274A8" w:rsidP="00360434">
            <w:pPr>
              <w:pStyle w:val="a9"/>
              <w:spacing w:after="120" w:line="360" w:lineRule="auto"/>
              <w:ind w:left="720"/>
              <w:rPr>
                <w:rFonts w:cs="David"/>
                <w:sz w:val="24"/>
                <w:szCs w:val="24"/>
                <w:rtl/>
              </w:rPr>
            </w:pPr>
            <w:r>
              <w:rPr>
                <w:rFonts w:cs="David" w:hint="cs"/>
                <w:sz w:val="24"/>
                <w:szCs w:val="24"/>
                <w:rtl/>
              </w:rPr>
              <w:t>על אף הסיכון במעבר מהספק הנוכחי לספק חלופי בהיבט של המשכיות הטיפול בשגויים שנותרו פתוחים ביום המעבר מספק לספק, לאחר בחינת הנושא, עולה כי היתרון שאותו ספק מספק גם את שירותי הסליקה הפנסיונית וגם את חילול השכר עולה על הסיכון הנ"ל.</w:t>
            </w:r>
          </w:p>
          <w:p w:rsidR="001274A8" w:rsidRDefault="001274A8" w:rsidP="00360434">
            <w:pPr>
              <w:pStyle w:val="a9"/>
              <w:spacing w:after="120" w:line="360" w:lineRule="auto"/>
              <w:ind w:left="720"/>
              <w:rPr>
                <w:rFonts w:cs="David"/>
                <w:sz w:val="24"/>
                <w:szCs w:val="24"/>
                <w:rtl/>
              </w:rPr>
            </w:pPr>
            <w:r>
              <w:rPr>
                <w:rFonts w:cs="David" w:hint="cs"/>
                <w:sz w:val="24"/>
                <w:szCs w:val="24"/>
                <w:rtl/>
              </w:rPr>
              <w:t>היתרון העיקרי הוא שלא נדרש ממשק דו כיווני ממערכת השכר למסלקה הפנסיונית, דבר שממזער את הסיכון ומייעל את תהליך העבודה.</w:t>
            </w:r>
          </w:p>
          <w:p w:rsidR="001274A8" w:rsidRDefault="001274A8" w:rsidP="00360434">
            <w:pPr>
              <w:spacing w:line="360" w:lineRule="auto"/>
              <w:rPr>
                <w:rFonts w:ascii="Arial" w:hAnsi="Arial" w:cs="Arial"/>
                <w:b/>
                <w:sz w:val="22"/>
                <w:szCs w:val="22"/>
                <w:rtl/>
              </w:rPr>
            </w:pPr>
            <w:r>
              <w:rPr>
                <w:rFonts w:cs="David" w:hint="cs"/>
                <w:szCs w:val="24"/>
                <w:rtl/>
              </w:rPr>
              <w:t>ולכן, לאור החלופות הקיימות בשוק והיתרונות הגלומים בהם ולאור הפוטנציאל הקיים בשיפור השירות והיתרון הבולט שבקבלת שירותי הסליקה מספק חישוב השכר- הוחלט לאחד את שני המכרזים ולצאת למכרז לשירותי חישוב שכר ולשירותי סליקה גם יחד.</w:t>
            </w:r>
          </w:p>
          <w:p w:rsidR="00244AC5" w:rsidRPr="00244AC5" w:rsidRDefault="00244AC5" w:rsidP="00360434">
            <w:pPr>
              <w:spacing w:line="360" w:lineRule="auto"/>
              <w:rPr>
                <w:rFonts w:cs="David"/>
                <w:szCs w:val="24"/>
                <w:rtl/>
              </w:rPr>
            </w:pPr>
          </w:p>
          <w:p w:rsidR="00244AC5" w:rsidRPr="00244AC5" w:rsidRDefault="00244AC5" w:rsidP="00244AC5">
            <w:pPr>
              <w:spacing w:line="360" w:lineRule="auto"/>
              <w:rPr>
                <w:rFonts w:cs="David"/>
                <w:szCs w:val="24"/>
                <w:rtl/>
              </w:rPr>
            </w:pPr>
            <w:r w:rsidRPr="00244AC5">
              <w:rPr>
                <w:rFonts w:cs="David" w:hint="cs"/>
                <w:szCs w:val="24"/>
                <w:rtl/>
              </w:rPr>
              <w:t xml:space="preserve">בשל העדר חוקת שכר מלאה ובשל החלפת מערכות הדיווח במשרד החינוך , המשרד נמנע בשלב זה לצאת </w:t>
            </w:r>
            <w:r w:rsidRPr="00244AC5">
              <w:rPr>
                <w:rFonts w:cs="David" w:hint="cs"/>
                <w:szCs w:val="24"/>
                <w:rtl/>
              </w:rPr>
              <w:lastRenderedPageBreak/>
              <w:t>למכרז לפחות עד לסיום כתיבת חוקת שכר.</w:t>
            </w:r>
          </w:p>
          <w:p w:rsidR="00244AC5" w:rsidRPr="00244AC5" w:rsidRDefault="00244AC5" w:rsidP="00244AC5">
            <w:pPr>
              <w:spacing w:line="360" w:lineRule="auto"/>
              <w:rPr>
                <w:rFonts w:cs="David"/>
                <w:szCs w:val="24"/>
                <w:rtl/>
              </w:rPr>
            </w:pPr>
            <w:r w:rsidRPr="00244AC5">
              <w:rPr>
                <w:rFonts w:cs="David" w:hint="cs"/>
                <w:szCs w:val="24"/>
                <w:rtl/>
              </w:rPr>
              <w:t xml:space="preserve">בשנת 2021 המשרד התקשר עם משרד רו"ח "דה לויט" לשם כתיבת חוקת השכר, אנו מעריכים </w:t>
            </w:r>
            <w:r w:rsidR="00B81A44">
              <w:rPr>
                <w:rFonts w:cs="David" w:hint="cs"/>
                <w:szCs w:val="24"/>
                <w:rtl/>
              </w:rPr>
              <w:t xml:space="preserve">, בהתאם לאבני הדרך שהציג משרד רו"ח דה לויט, </w:t>
            </w:r>
            <w:r w:rsidRPr="00244AC5">
              <w:rPr>
                <w:rFonts w:cs="David" w:hint="cs"/>
                <w:szCs w:val="24"/>
                <w:rtl/>
              </w:rPr>
              <w:t>כי פרויקט זה יארך לכל הפחות שנתיים וחצי.</w:t>
            </w:r>
          </w:p>
          <w:p w:rsidR="00244AC5" w:rsidRPr="00244AC5" w:rsidRDefault="00244AC5" w:rsidP="00244AC5">
            <w:pPr>
              <w:spacing w:line="360" w:lineRule="auto"/>
              <w:rPr>
                <w:rFonts w:cs="David"/>
                <w:szCs w:val="24"/>
                <w:rtl/>
              </w:rPr>
            </w:pPr>
          </w:p>
          <w:p w:rsidR="00244AC5" w:rsidRPr="00244AC5" w:rsidRDefault="00244AC5" w:rsidP="00244AC5">
            <w:pPr>
              <w:spacing w:line="360" w:lineRule="auto"/>
              <w:rPr>
                <w:rFonts w:cs="David"/>
                <w:szCs w:val="24"/>
                <w:rtl/>
              </w:rPr>
            </w:pPr>
            <w:r w:rsidRPr="00244AC5">
              <w:rPr>
                <w:rFonts w:cs="David" w:hint="cs"/>
                <w:szCs w:val="24"/>
                <w:rtl/>
              </w:rPr>
              <w:t>בהנחה שלא יהיו עיכובים בלתי צפויים והחברה תעמוד בלוחות הזמנים שהוגדרו , תיעוד חוקת השכר עתיד להסתיים בסוף דצמבר 2024 , כתיבת המכרז , פירסומו ובחירת זוכה תארך עוד כשנה, לפיכך נבקש לאשר את הארכת ההתקשרות לתקופה שמיום ה-1.1.2023 ועד 31.12.2025.</w:t>
            </w:r>
          </w:p>
          <w:p w:rsidR="001274A8" w:rsidRPr="0053500C" w:rsidRDefault="001274A8" w:rsidP="00244AC5">
            <w:pPr>
              <w:pStyle w:val="a9"/>
              <w:spacing w:before="240" w:after="120" w:line="360" w:lineRule="auto"/>
              <w:rPr>
                <w:rFonts w:ascii="Arial" w:hAnsi="Arial"/>
                <w:b/>
                <w:rtl/>
              </w:rPr>
            </w:pPr>
          </w:p>
        </w:tc>
      </w:tr>
    </w:tbl>
    <w:p w:rsidR="001274A8" w:rsidRPr="00813E93" w:rsidRDefault="001274A8" w:rsidP="001274A8">
      <w:pPr>
        <w:numPr>
          <w:ilvl w:val="12"/>
          <w:numId w:val="0"/>
        </w:numPr>
        <w:ind w:left="283" w:hanging="283"/>
        <w:rPr>
          <w:rFonts w:ascii="Arial" w:hAnsi="Arial" w:cs="Arial"/>
          <w:b/>
          <w:sz w:val="22"/>
          <w:szCs w:val="22"/>
          <w:rtl/>
        </w:rPr>
      </w:pPr>
    </w:p>
    <w:p w:rsidR="001274A8" w:rsidRDefault="001274A8" w:rsidP="001274A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1274A8" w:rsidRDefault="001274A8" w:rsidP="001274A8">
      <w:pPr>
        <w:rPr>
          <w:rFonts w:ascii="Arial" w:hAnsi="Arial" w:cs="Arial"/>
          <w:b/>
          <w:sz w:val="22"/>
          <w:szCs w:val="22"/>
          <w:rtl/>
        </w:rPr>
      </w:pPr>
    </w:p>
    <w:p w:rsidR="001274A8" w:rsidRDefault="001274A8" w:rsidP="001274A8">
      <w:pPr>
        <w:rPr>
          <w:rFonts w:ascii="Arial" w:hAnsi="Arial" w:cs="Arial"/>
          <w:b/>
          <w:sz w:val="22"/>
          <w:szCs w:val="22"/>
          <w:rtl/>
        </w:rPr>
      </w:pPr>
      <w:r>
        <w:rPr>
          <w:rFonts w:ascii="Arial" w:hAnsi="Arial" w:cs="Arial" w:hint="cs"/>
          <w:b/>
          <w:sz w:val="22"/>
          <w:szCs w:val="22"/>
          <w:rtl/>
        </w:rPr>
        <w:t xml:space="preserve">בכבוד רב,                                               </w:t>
      </w:r>
    </w:p>
    <w:p w:rsidR="001274A8" w:rsidRDefault="001274A8" w:rsidP="001274A8">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274A8" w:rsidRPr="0053500C" w:rsidTr="00360434">
        <w:trPr>
          <w:trHeight w:val="756"/>
        </w:trPr>
        <w:tc>
          <w:tcPr>
            <w:tcW w:w="2698" w:type="dxa"/>
            <w:tcBorders>
              <w:bottom w:val="single" w:sz="4" w:space="0" w:color="auto"/>
            </w:tcBorders>
          </w:tcPr>
          <w:p w:rsidR="001274A8" w:rsidRDefault="001274A8" w:rsidP="00360434">
            <w:pPr>
              <w:spacing w:line="360" w:lineRule="auto"/>
              <w:jc w:val="center"/>
              <w:rPr>
                <w:rFonts w:ascii="Arial" w:hAnsi="Arial" w:cs="Arial"/>
                <w:b/>
                <w:sz w:val="22"/>
                <w:szCs w:val="22"/>
                <w:rtl/>
              </w:rPr>
            </w:pPr>
          </w:p>
          <w:p w:rsidR="001274A8" w:rsidRDefault="001274A8" w:rsidP="00360434">
            <w:pPr>
              <w:spacing w:line="360" w:lineRule="auto"/>
              <w:jc w:val="center"/>
              <w:rPr>
                <w:rFonts w:ascii="Arial" w:hAnsi="Arial" w:cs="Arial"/>
                <w:b/>
                <w:sz w:val="22"/>
                <w:szCs w:val="22"/>
              </w:rPr>
            </w:pPr>
            <w:r>
              <w:rPr>
                <w:rFonts w:ascii="Arial" w:hAnsi="Arial" w:cs="Arial" w:hint="cs"/>
                <w:b/>
                <w:sz w:val="22"/>
                <w:szCs w:val="22"/>
                <w:rtl/>
              </w:rPr>
              <w:t>תמר כהן</w:t>
            </w:r>
          </w:p>
          <w:p w:rsidR="001274A8" w:rsidRPr="0053500C" w:rsidRDefault="001274A8" w:rsidP="00360434">
            <w:pPr>
              <w:spacing w:line="360" w:lineRule="auto"/>
              <w:jc w:val="center"/>
              <w:rPr>
                <w:rFonts w:ascii="Arial" w:hAnsi="Arial" w:cs="Arial"/>
                <w:b/>
                <w:sz w:val="22"/>
                <w:szCs w:val="22"/>
                <w:rtl/>
              </w:rPr>
            </w:pPr>
          </w:p>
        </w:tc>
        <w:tc>
          <w:tcPr>
            <w:tcW w:w="3420" w:type="dxa"/>
            <w:tcBorders>
              <w:bottom w:val="single" w:sz="4" w:space="0" w:color="auto"/>
            </w:tcBorders>
          </w:tcPr>
          <w:p w:rsidR="001274A8" w:rsidRDefault="001274A8" w:rsidP="00360434">
            <w:pPr>
              <w:spacing w:line="360" w:lineRule="auto"/>
              <w:jc w:val="center"/>
              <w:rPr>
                <w:rFonts w:ascii="Arial" w:hAnsi="Arial" w:cs="Arial"/>
                <w:b/>
                <w:sz w:val="22"/>
                <w:szCs w:val="22"/>
                <w:rtl/>
              </w:rPr>
            </w:pPr>
          </w:p>
          <w:p w:rsidR="001274A8" w:rsidRPr="0053500C" w:rsidRDefault="001274A8" w:rsidP="00360434">
            <w:pPr>
              <w:spacing w:line="360" w:lineRule="auto"/>
              <w:jc w:val="center"/>
              <w:rPr>
                <w:rFonts w:ascii="Arial" w:hAnsi="Arial" w:cs="Arial"/>
                <w:b/>
                <w:sz w:val="22"/>
                <w:szCs w:val="22"/>
                <w:rtl/>
              </w:rPr>
            </w:pPr>
            <w:r>
              <w:rPr>
                <w:rFonts w:ascii="Arial" w:hAnsi="Arial" w:cs="Arial" w:hint="cs"/>
                <w:b/>
                <w:sz w:val="22"/>
                <w:szCs w:val="22"/>
                <w:rtl/>
              </w:rPr>
              <w:t>מנהלת תחום בכיר שכר עו"ה</w:t>
            </w:r>
          </w:p>
        </w:tc>
        <w:tc>
          <w:tcPr>
            <w:tcW w:w="3202" w:type="dxa"/>
            <w:tcBorders>
              <w:bottom w:val="single" w:sz="4" w:space="0" w:color="auto"/>
            </w:tcBorders>
          </w:tcPr>
          <w:p w:rsidR="001274A8" w:rsidRPr="00697FD1" w:rsidRDefault="001274A8" w:rsidP="00360434">
            <w:pPr>
              <w:pStyle w:val="a9"/>
              <w:spacing w:after="120"/>
              <w:rPr>
                <w:rFonts w:cs="David"/>
                <w:b/>
                <w:bCs/>
                <w:sz w:val="24"/>
                <w:szCs w:val="24"/>
                <w:rtl/>
              </w:rPr>
            </w:pPr>
            <w:r>
              <w:rPr>
                <w:noProof/>
              </w:rPr>
              <w:drawing>
                <wp:anchor distT="0" distB="0" distL="114300" distR="114300" simplePos="0" relativeHeight="251659264" behindDoc="1" locked="0" layoutInCell="1" allowOverlap="1">
                  <wp:simplePos x="0" y="0"/>
                  <wp:positionH relativeFrom="column">
                    <wp:posOffset>809625</wp:posOffset>
                  </wp:positionH>
                  <wp:positionV relativeFrom="paragraph">
                    <wp:posOffset>107950</wp:posOffset>
                  </wp:positionV>
                  <wp:extent cx="1209675" cy="626110"/>
                  <wp:effectExtent l="0" t="0" r="9525" b="254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9675" cy="6261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274A8" w:rsidRDefault="001274A8" w:rsidP="00360434">
            <w:pPr>
              <w:spacing w:line="360" w:lineRule="auto"/>
              <w:rPr>
                <w:rFonts w:ascii="Calibri" w:eastAsia="Calibri" w:hAnsi="Calibri" w:cs="David"/>
                <w:b/>
                <w:bCs/>
                <w:szCs w:val="24"/>
                <w:rtl/>
                <w:lang w:eastAsia="en-US"/>
              </w:rPr>
            </w:pPr>
          </w:p>
          <w:p w:rsidR="001274A8" w:rsidRPr="0053500C" w:rsidRDefault="001274A8" w:rsidP="00360434">
            <w:pPr>
              <w:spacing w:line="360" w:lineRule="auto"/>
              <w:rPr>
                <w:rFonts w:ascii="Arial" w:hAnsi="Arial" w:cs="Arial"/>
                <w:b/>
                <w:sz w:val="22"/>
                <w:szCs w:val="22"/>
                <w:rtl/>
              </w:rPr>
            </w:pPr>
          </w:p>
        </w:tc>
      </w:tr>
      <w:tr w:rsidR="001274A8" w:rsidRPr="0053500C" w:rsidTr="00360434">
        <w:tc>
          <w:tcPr>
            <w:tcW w:w="2698" w:type="dxa"/>
            <w:tcBorders>
              <w:top w:val="single" w:sz="4" w:space="0" w:color="auto"/>
            </w:tcBorders>
            <w:shd w:val="clear" w:color="auto" w:fill="E6E6E6"/>
          </w:tcPr>
          <w:p w:rsidR="001274A8" w:rsidRPr="0053500C" w:rsidRDefault="001274A8" w:rsidP="00360434">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274A8" w:rsidRPr="0053500C" w:rsidRDefault="001274A8" w:rsidP="00360434">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1274A8" w:rsidRPr="0053500C" w:rsidRDefault="001274A8" w:rsidP="00360434">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274A8" w:rsidRPr="003A48B2" w:rsidRDefault="001274A8" w:rsidP="001274A8">
      <w:pPr>
        <w:spacing w:line="360" w:lineRule="auto"/>
        <w:rPr>
          <w:rFonts w:ascii="Arial" w:hAnsi="Arial" w:cs="Arial"/>
          <w:sz w:val="22"/>
          <w:szCs w:val="22"/>
          <w:rtl/>
        </w:rPr>
      </w:pPr>
    </w:p>
    <w:p w:rsidR="00547627" w:rsidRPr="001274A8" w:rsidRDefault="00547627" w:rsidP="001274A8"/>
    <w:sectPr w:rsidR="00547627" w:rsidRPr="001274A8"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C67" w:rsidRDefault="00662C67">
      <w:r>
        <w:separator/>
      </w:r>
    </w:p>
  </w:endnote>
  <w:endnote w:type="continuationSeparator" w:id="0">
    <w:p w:rsidR="00662C67" w:rsidRDefault="00662C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62C67"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662C67" w:rsidP="007131DA">
          <w:pPr>
            <w:rPr>
              <w:rFonts w:ascii="Arial" w:hAnsi="Arial" w:cs="Arial"/>
              <w:color w:val="1B3461"/>
              <w:sz w:val="15"/>
              <w:szCs w:val="15"/>
              <w:rtl/>
            </w:rPr>
          </w:pPr>
        </w:p>
        <w:p w:rsidR="003A4534" w:rsidRPr="003E2065" w:rsidRDefault="001274A8" w:rsidP="007131DA">
          <w:pPr>
            <w:rPr>
              <w:rFonts w:ascii="Arial" w:hAnsi="Arial" w:cs="Arial"/>
              <w:sz w:val="20"/>
              <w:szCs w:val="20"/>
              <w:rtl/>
            </w:rPr>
          </w:pPr>
          <w:r w:rsidRPr="00745747">
            <w:rPr>
              <w:noProof/>
              <w:lang w:eastAsia="en-US"/>
            </w:rPr>
            <w:drawing>
              <wp:inline distT="0" distB="0" distL="0" distR="0">
                <wp:extent cx="723900" cy="371475"/>
                <wp:effectExtent l="0" t="0" r="0" b="952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36CB3"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36CB3"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D0D39">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D0D39">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662C67"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36CB3"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662C67">
    <w:pPr>
      <w:rPr>
        <w:rtl/>
      </w:rPr>
    </w:pPr>
  </w:p>
  <w:p w:rsidR="003A4534" w:rsidRDefault="00662C6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36CB3"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36CB3"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36CB3"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36CB3"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D0D3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D0D39">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662C67">
    <w:pPr>
      <w:pStyle w:val="a5"/>
    </w:pPr>
  </w:p>
  <w:p w:rsidR="003A4534" w:rsidRDefault="00662C6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C67" w:rsidRDefault="00662C67">
      <w:r>
        <w:separator/>
      </w:r>
    </w:p>
  </w:footnote>
  <w:footnote w:type="continuationSeparator" w:id="0">
    <w:p w:rsidR="00662C67" w:rsidRDefault="00662C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62C67">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36CB3"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36CB3"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36CB3"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36CB3"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36CB3" w:rsidP="0053500C">
          <w:pPr>
            <w:pStyle w:val="a8"/>
            <w:rPr>
              <w:rtl/>
            </w:rPr>
          </w:pPr>
          <w:r>
            <w:rPr>
              <w:rFonts w:hint="cs"/>
              <w:rtl/>
            </w:rPr>
            <w:t>מספר טופס: ט. 7.8.2.1</w:t>
          </w:r>
        </w:p>
      </w:tc>
    </w:tr>
  </w:tbl>
  <w:p w:rsidR="003A4534" w:rsidRDefault="00662C67"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662C67" w:rsidP="00367921">
    <w:pPr>
      <w:pStyle w:val="a3"/>
      <w:rPr>
        <w:sz w:val="20"/>
        <w:szCs w:val="20"/>
        <w:rtl/>
      </w:rPr>
    </w:pPr>
  </w:p>
  <w:p w:rsidR="003A4534" w:rsidRDefault="001274A8" w:rsidP="003B6F35">
    <w:pPr>
      <w:pStyle w:val="a3"/>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36CB3"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36CB3"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36CB3"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36CB3"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36CB3" w:rsidP="0053500C">
          <w:pPr>
            <w:pStyle w:val="a8"/>
            <w:rPr>
              <w:rtl/>
            </w:rPr>
          </w:pPr>
          <w:r>
            <w:rPr>
              <w:rFonts w:hint="cs"/>
              <w:rtl/>
            </w:rPr>
            <w:t>מספר טופס: ט. 7.8.2.1</w:t>
          </w:r>
        </w:p>
      </w:tc>
    </w:tr>
  </w:tbl>
  <w:p w:rsidR="003A4534" w:rsidRPr="00D92E7A" w:rsidRDefault="00662C67"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462E78"/>
    <w:multiLevelType w:val="hybridMultilevel"/>
    <w:tmpl w:val="D4FE9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20644D2"/>
    <w:multiLevelType w:val="hybridMultilevel"/>
    <w:tmpl w:val="D4FE9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23A6345"/>
    <w:multiLevelType w:val="hybridMultilevel"/>
    <w:tmpl w:val="3CF018B6"/>
    <w:lvl w:ilvl="0" w:tplc="041E6F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4A8"/>
    <w:rsid w:val="001274A8"/>
    <w:rsid w:val="001403E0"/>
    <w:rsid w:val="00244AC5"/>
    <w:rsid w:val="00547627"/>
    <w:rsid w:val="00642257"/>
    <w:rsid w:val="00662C67"/>
    <w:rsid w:val="00A36CB3"/>
    <w:rsid w:val="00B50401"/>
    <w:rsid w:val="00B81A44"/>
    <w:rsid w:val="00CD0D39"/>
    <w:rsid w:val="00DF6006"/>
    <w:rsid w:val="00FD69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74A8"/>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274A8"/>
    <w:pPr>
      <w:tabs>
        <w:tab w:val="center" w:pos="4153"/>
        <w:tab w:val="right" w:pos="8306"/>
      </w:tabs>
    </w:pPr>
  </w:style>
  <w:style w:type="character" w:customStyle="1" w:styleId="a4">
    <w:name w:val="כותרת עליונה תו"/>
    <w:basedOn w:val="a0"/>
    <w:link w:val="a3"/>
    <w:semiHidden/>
    <w:rsid w:val="001274A8"/>
    <w:rPr>
      <w:rFonts w:ascii="Times New Roman" w:eastAsia="Times New Roman" w:hAnsi="Times New Roman" w:cs="FrankRuehl"/>
      <w:sz w:val="24"/>
      <w:szCs w:val="26"/>
      <w:lang w:eastAsia="he-IL"/>
    </w:rPr>
  </w:style>
  <w:style w:type="paragraph" w:styleId="a5">
    <w:name w:val="footer"/>
    <w:basedOn w:val="a"/>
    <w:link w:val="a6"/>
    <w:semiHidden/>
    <w:rsid w:val="001274A8"/>
    <w:pPr>
      <w:tabs>
        <w:tab w:val="center" w:pos="4153"/>
        <w:tab w:val="right" w:pos="8306"/>
      </w:tabs>
    </w:pPr>
  </w:style>
  <w:style w:type="character" w:customStyle="1" w:styleId="a6">
    <w:name w:val="כותרת תחתונה תו"/>
    <w:basedOn w:val="a0"/>
    <w:link w:val="a5"/>
    <w:semiHidden/>
    <w:rsid w:val="001274A8"/>
    <w:rPr>
      <w:rFonts w:ascii="Times New Roman" w:eastAsia="Times New Roman" w:hAnsi="Times New Roman" w:cs="FrankRuehl"/>
      <w:sz w:val="24"/>
      <w:szCs w:val="26"/>
      <w:lang w:eastAsia="he-IL"/>
    </w:rPr>
  </w:style>
  <w:style w:type="paragraph" w:customStyle="1" w:styleId="a7">
    <w:name w:val="שם הוראה"/>
    <w:basedOn w:val="a"/>
    <w:rsid w:val="001274A8"/>
    <w:pPr>
      <w:jc w:val="both"/>
    </w:pPr>
    <w:rPr>
      <w:rFonts w:ascii="Arial" w:hAnsi="Arial" w:cs="Arial"/>
      <w:b/>
      <w:bCs/>
      <w:color w:val="FFFFFF"/>
      <w:sz w:val="28"/>
      <w:szCs w:val="28"/>
    </w:rPr>
  </w:style>
  <w:style w:type="paragraph" w:customStyle="1" w:styleId="a8">
    <w:name w:val="טקסט רץ טבלה עליונה"/>
    <w:basedOn w:val="a"/>
    <w:rsid w:val="001274A8"/>
    <w:pPr>
      <w:jc w:val="both"/>
    </w:pPr>
    <w:rPr>
      <w:rFonts w:ascii="Arial" w:hAnsi="Arial" w:cs="Arial"/>
      <w:sz w:val="20"/>
      <w:szCs w:val="20"/>
    </w:rPr>
  </w:style>
  <w:style w:type="paragraph" w:styleId="a9">
    <w:name w:val="No Spacing"/>
    <w:uiPriority w:val="1"/>
    <w:qFormat/>
    <w:rsid w:val="001274A8"/>
    <w:pPr>
      <w:bidi/>
      <w:spacing w:after="0" w:line="240" w:lineRule="auto"/>
    </w:pPr>
    <w:rPr>
      <w:rFonts w:ascii="Calibri" w:eastAsia="Calibri" w:hAnsi="Calibri" w:cs="Arial"/>
    </w:rPr>
  </w:style>
  <w:style w:type="paragraph" w:styleId="aa">
    <w:name w:val="Balloon Text"/>
    <w:basedOn w:val="a"/>
    <w:link w:val="ab"/>
    <w:uiPriority w:val="99"/>
    <w:semiHidden/>
    <w:unhideWhenUsed/>
    <w:rsid w:val="00CD0D39"/>
    <w:rPr>
      <w:rFonts w:ascii="Tahoma" w:hAnsi="Tahoma" w:cs="Tahoma"/>
      <w:sz w:val="16"/>
      <w:szCs w:val="16"/>
    </w:rPr>
  </w:style>
  <w:style w:type="character" w:customStyle="1" w:styleId="ab">
    <w:name w:val="טקסט בלונים תו"/>
    <w:basedOn w:val="a0"/>
    <w:link w:val="aa"/>
    <w:uiPriority w:val="99"/>
    <w:semiHidden/>
    <w:rsid w:val="00CD0D39"/>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74A8"/>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1274A8"/>
    <w:pPr>
      <w:tabs>
        <w:tab w:val="center" w:pos="4153"/>
        <w:tab w:val="right" w:pos="8306"/>
      </w:tabs>
    </w:pPr>
  </w:style>
  <w:style w:type="character" w:customStyle="1" w:styleId="a4">
    <w:name w:val="כותרת עליונה תו"/>
    <w:basedOn w:val="a0"/>
    <w:link w:val="a3"/>
    <w:semiHidden/>
    <w:rsid w:val="001274A8"/>
    <w:rPr>
      <w:rFonts w:ascii="Times New Roman" w:eastAsia="Times New Roman" w:hAnsi="Times New Roman" w:cs="FrankRuehl"/>
      <w:sz w:val="24"/>
      <w:szCs w:val="26"/>
      <w:lang w:eastAsia="he-IL"/>
    </w:rPr>
  </w:style>
  <w:style w:type="paragraph" w:styleId="a5">
    <w:name w:val="footer"/>
    <w:basedOn w:val="a"/>
    <w:link w:val="a6"/>
    <w:semiHidden/>
    <w:rsid w:val="001274A8"/>
    <w:pPr>
      <w:tabs>
        <w:tab w:val="center" w:pos="4153"/>
        <w:tab w:val="right" w:pos="8306"/>
      </w:tabs>
    </w:pPr>
  </w:style>
  <w:style w:type="character" w:customStyle="1" w:styleId="a6">
    <w:name w:val="כותרת תחתונה תו"/>
    <w:basedOn w:val="a0"/>
    <w:link w:val="a5"/>
    <w:semiHidden/>
    <w:rsid w:val="001274A8"/>
    <w:rPr>
      <w:rFonts w:ascii="Times New Roman" w:eastAsia="Times New Roman" w:hAnsi="Times New Roman" w:cs="FrankRuehl"/>
      <w:sz w:val="24"/>
      <w:szCs w:val="26"/>
      <w:lang w:eastAsia="he-IL"/>
    </w:rPr>
  </w:style>
  <w:style w:type="paragraph" w:customStyle="1" w:styleId="a7">
    <w:name w:val="שם הוראה"/>
    <w:basedOn w:val="a"/>
    <w:rsid w:val="001274A8"/>
    <w:pPr>
      <w:jc w:val="both"/>
    </w:pPr>
    <w:rPr>
      <w:rFonts w:ascii="Arial" w:hAnsi="Arial" w:cs="Arial"/>
      <w:b/>
      <w:bCs/>
      <w:color w:val="FFFFFF"/>
      <w:sz w:val="28"/>
      <w:szCs w:val="28"/>
    </w:rPr>
  </w:style>
  <w:style w:type="paragraph" w:customStyle="1" w:styleId="a8">
    <w:name w:val="טקסט רץ טבלה עליונה"/>
    <w:basedOn w:val="a"/>
    <w:rsid w:val="001274A8"/>
    <w:pPr>
      <w:jc w:val="both"/>
    </w:pPr>
    <w:rPr>
      <w:rFonts w:ascii="Arial" w:hAnsi="Arial" w:cs="Arial"/>
      <w:sz w:val="20"/>
      <w:szCs w:val="20"/>
    </w:rPr>
  </w:style>
  <w:style w:type="paragraph" w:styleId="a9">
    <w:name w:val="No Spacing"/>
    <w:uiPriority w:val="1"/>
    <w:qFormat/>
    <w:rsid w:val="001274A8"/>
    <w:pPr>
      <w:bidi/>
      <w:spacing w:after="0" w:line="240" w:lineRule="auto"/>
    </w:pPr>
    <w:rPr>
      <w:rFonts w:ascii="Calibri" w:eastAsia="Calibri" w:hAnsi="Calibri" w:cs="Arial"/>
    </w:rPr>
  </w:style>
  <w:style w:type="paragraph" w:styleId="aa">
    <w:name w:val="Balloon Text"/>
    <w:basedOn w:val="a"/>
    <w:link w:val="ab"/>
    <w:uiPriority w:val="99"/>
    <w:semiHidden/>
    <w:unhideWhenUsed/>
    <w:rsid w:val="00CD0D39"/>
    <w:rPr>
      <w:rFonts w:ascii="Tahoma" w:hAnsi="Tahoma" w:cs="Tahoma"/>
      <w:sz w:val="16"/>
      <w:szCs w:val="16"/>
    </w:rPr>
  </w:style>
  <w:style w:type="character" w:customStyle="1" w:styleId="ab">
    <w:name w:val="טקסט בלונים תו"/>
    <w:basedOn w:val="a0"/>
    <w:link w:val="aa"/>
    <w:uiPriority w:val="99"/>
    <w:semiHidden/>
    <w:rsid w:val="00CD0D39"/>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754</Words>
  <Characters>3770</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אבישג ראובן</dc:creator>
  <cp:lastModifiedBy>גלית דוד</cp:lastModifiedBy>
  <cp:revision>2</cp:revision>
  <dcterms:created xsi:type="dcterms:W3CDTF">2022-08-10T11:12:00Z</dcterms:created>
  <dcterms:modified xsi:type="dcterms:W3CDTF">2022-08-10T11:12:00Z</dcterms:modified>
</cp:coreProperties>
</file>